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00" w:before="100" w:line="240" w:lineRule="auto"/>
        <w:jc w:val="center"/>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rtl w:val="0"/>
        </w:rPr>
        <w:t xml:space="preserve">"Teaching Materials" with a focus on Water</w:t>
      </w:r>
      <w:r w:rsidDel="00000000" w:rsidR="00000000" w:rsidRPr="00000000">
        <w:rPr>
          <w:rtl w:val="0"/>
        </w:rPr>
      </w:r>
    </w:p>
    <w:p w:rsidR="00000000" w:rsidDel="00000000" w:rsidP="00000000" w:rsidRDefault="00000000" w:rsidRPr="00000000" w14:paraId="00000003">
      <w:pPr>
        <w:spacing w:after="100" w:before="10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University Teaching Seminar Design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center"/>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(Created by Amina Boumaaiz)</w:t>
      </w:r>
    </w:p>
    <w:tbl>
      <w:tblPr>
        <w:tblStyle w:val="Table1"/>
        <w:tblW w:w="9062.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062"/>
        <w:tblGridChange w:id="0">
          <w:tblGrid>
            <w:gridCol w:w="9062"/>
          </w:tblGrid>
        </w:tblGridChange>
      </w:tblGrid>
      <w:tr>
        <w:trPr>
          <w:cantSplit w:val="0"/>
          <w:trHeight w:val="2358"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05">
            <w:pPr>
              <w:pStyle w:val="Heading3"/>
              <w:rPr>
                <w:rFonts w:ascii="Times New Roman" w:cs="Times New Roman" w:eastAsia="Times New Roman" w:hAnsi="Times New Roman"/>
                <w:b w:val="1"/>
                <w:bCs w:val="1"/>
                <w:i w:val="1"/>
                <w:iCs w:val="1"/>
                <w:color w:val="000000"/>
                <w:sz w:val="24"/>
                <w:szCs w:val="24"/>
                <w:u w:val="none"/>
              </w:rPr>
            </w:pPr>
            <w:r w:rsidDel="00000000" w:rsidR="00000000" w:rsidRPr="00000000">
              <w:rPr>
                <w:rFonts w:ascii="Times New Roman" w:cs="Times New Roman" w:eastAsia="Times New Roman" w:hAnsi="Times New Roman"/>
                <w:b w:val="1"/>
                <w:bCs w:val="1"/>
                <w:i w:val="1"/>
                <w:iCs w:val="1"/>
                <w:color w:val="000000"/>
                <w:sz w:val="24"/>
                <w:szCs w:val="24"/>
                <w:u w:val="none"/>
                <w:rtl w:val="0"/>
              </w:rPr>
              <w:t xml:space="preserve">Preliminary remark</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following template is intended as an example and is designed to facilitate the implementation of university teaching concepts with the thematic focus on water.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focus can be taken up in various thematic contexts, for example in connection with drought, digitalization, clothing, nutrition, or other relevant issues. The template is designed in such a way that these different approaches can be easily integrated.</w:t>
            </w:r>
          </w:p>
        </w:tc>
      </w:tr>
    </w:tbl>
    <w:p w:rsidR="00000000" w:rsidDel="00000000" w:rsidP="00000000" w:rsidRDefault="00000000" w:rsidRPr="00000000" w14:paraId="00000008">
      <w:pPr>
        <w:widowControl w:val="0"/>
        <w:spacing w:after="100" w:before="10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hd w:fill="dae9f7" w:val="clear"/>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Idea and goal of the seminar: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first clarify their own religious/ethical or interreligious perspective on water as an environmental ethical issue and then become capable of dialogue on interreligious perspectives in the sense of sustainable development.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students then reflect on their approaches together, develop materials on this topic individually or in groups, or reflect on given materials as a seminar assignment and then present these for further joint reflection.</w:t>
      </w:r>
    </w:p>
    <w:p w:rsidR="00000000" w:rsidDel="00000000" w:rsidP="00000000" w:rsidRDefault="00000000" w:rsidRPr="00000000" w14:paraId="0000000C">
      <w:pPr>
        <w:shd w:fill="dae9f7" w:val="clea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Project reference: </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Interreligious education for sustainable development is established as a goal and follow-up dimension. It is designed as an outlook and initiated pedagogically and didactically. The interreligious perspective is central to the outcome that emerges in the process of learning and encounter.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spacing w:after="100" w:before="10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CHRISTIAN-ISLAMIC DIALOGUE ABOUT </w:t>
      </w:r>
    </w:p>
    <w:p w:rsidR="00000000" w:rsidDel="00000000" w:rsidP="00000000" w:rsidRDefault="00000000" w:rsidRPr="00000000" w14:paraId="00000013">
      <w:pPr>
        <w:spacing w:after="100" w:before="10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ENVIRONMENTAL ETHICS</w:t>
      </w:r>
    </w:p>
    <w:tbl>
      <w:tblPr>
        <w:tblStyle w:val="Table2"/>
        <w:tblW w:w="923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89"/>
        <w:gridCol w:w="5949"/>
        <w:tblGridChange w:id="0">
          <w:tblGrid>
            <w:gridCol w:w="3289"/>
            <w:gridCol w:w="5949"/>
          </w:tblGrid>
        </w:tblGridChange>
      </w:tblGrid>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14">
            <w:pPr>
              <w:spacing w:after="100" w:before="1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Teaching unit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5">
            <w:pPr>
              <w:spacing w:after="100" w:before="10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Details</w:t>
            </w:r>
            <w:r w:rsidDel="00000000" w:rsidR="00000000" w:rsidRPr="00000000">
              <w:rPr>
                <w:rtl w:val="0"/>
              </w:rPr>
            </w:r>
          </w:p>
        </w:tc>
      </w:tr>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16">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 of the course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Christian-Islamic dialogue about environmental ethics</w:t>
            </w:r>
          </w:p>
        </w:tc>
      </w:tr>
      <w:tr>
        <w:trPr>
          <w:cantSplit w:val="0"/>
          <w:trHeight w:val="95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18">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Title of the session (teaching unit at the university) or thematic focus</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9">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as a gift, resources and responsibilities- ecological, ethical and interreligious perspectives</w:t>
            </w:r>
          </w:p>
        </w:tc>
      </w:tr>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1A">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Subject / degree program</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Theology with a focus on religious education and didactic of religious education</w:t>
            </w:r>
          </w:p>
        </w:tc>
      </w:tr>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1C">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Classification within the module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 of the module area Interreligious Education/ Enviromental Ethics/ Education for Sustainable Development (ESD) within teacher education and religious education studies</w:t>
            </w:r>
          </w:p>
        </w:tc>
      </w:tr>
      <w:tr>
        <w:trPr>
          <w:cantSplit w:val="0"/>
          <w:trHeight w:val="95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1E">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Partner organization (internal or external cooperation partner)</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Fos/Bos in Augsburg (vocational school context)</w:t>
            </w:r>
          </w:p>
        </w:tc>
      </w:tr>
      <w:tr>
        <w:trPr>
          <w:cantSplit w:val="0"/>
          <w:trHeight w:val="6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20">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 group</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21">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University students of religious education and students oft he certificate for interreligious mediation (CIM); indirectly pupils in secondary education</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22">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frame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23">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Summer semester (12 weeks, one session per week)</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shd w:fill="e8e8e8" w:val="clear"/>
            <w:tcMar>
              <w:top w:w="80.0" w:type="dxa"/>
              <w:left w:w="80.0" w:type="dxa"/>
              <w:bottom w:w="80.0" w:type="dxa"/>
              <w:right w:w="80.0" w:type="dxa"/>
            </w:tcMar>
            <w:vAlign w:val="center"/>
          </w:tcPr>
          <w:p w:rsidR="00000000" w:rsidDel="00000000" w:rsidP="00000000" w:rsidRDefault="00000000" w:rsidRPr="00000000" w14:paraId="00000024">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Requirements/Prior knowledge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25">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knowledge of theology or religious education; openness to interreligious dialogue</w:t>
            </w:r>
          </w:p>
        </w:tc>
      </w:tr>
    </w:tbl>
    <w:p w:rsidR="00000000" w:rsidDel="00000000" w:rsidP="00000000" w:rsidRDefault="00000000" w:rsidRPr="00000000" w14:paraId="0000002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Objectives and classification</w:t>
      </w:r>
    </w:p>
    <w:tbl>
      <w:tblPr>
        <w:tblStyle w:val="Table3"/>
        <w:tblW w:w="923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89"/>
        <w:gridCol w:w="5949"/>
        <w:tblGridChange w:id="0">
          <w:tblGrid>
            <w:gridCol w:w="3289"/>
            <w:gridCol w:w="5949"/>
          </w:tblGrid>
        </w:tblGridChange>
      </w:tblGrid>
      <w:tr>
        <w:trPr>
          <w:cantSplit w:val="0"/>
          <w:trHeight w:val="714"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8">
            <w:pPr>
              <w:spacing w:after="100" w:before="1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Aspect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9">
            <w:pPr>
              <w:spacing w:after="100" w:before="10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Implementation in context</w:t>
            </w:r>
            <w:r w:rsidDel="00000000" w:rsidR="00000000" w:rsidRPr="00000000">
              <w:rPr>
                <w:rtl w:val="0"/>
              </w:rPr>
            </w:r>
          </w:p>
        </w:tc>
      </w:tr>
      <w:tr>
        <w:trPr>
          <w:cantSplit w:val="0"/>
          <w:trHeight w:val="95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A">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Content focus (clarification of one's own religious/ethical views)</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Explanation oft he own religious or confessional backgrpund; Examination of water as a vital resource, religious gift and ethical responsibility through theological, ecological, technological, and political case studies (e.g. drinking water treatment, lithium extraction, sustainable agriculture)</w:t>
            </w:r>
          </w:p>
        </w:tc>
      </w:tr>
      <w:tr>
        <w:trPr>
          <w:cantSplit w:val="0"/>
          <w:trHeight w:val="95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C">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Basic didactic idea (How can a connection to one's own life be established?)</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Strong connection to students´ lifeworlds through everyday experience with water (drinking water, consumption, fasting practices) and current global challenges</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(Methodology: Group discussion and presentation)</w:t>
            </w:r>
          </w:p>
        </w:tc>
      </w:tr>
      <w:tr>
        <w:trPr>
          <w:cantSplit w:val="0"/>
          <w:trHeight w:val="95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F">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Connection to religious sustainable development</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Comparative engagement with Christian and Islamic perspectives on water (creation, purity, avoidance of waste, (global) responsibility, moderation) based on biblical texts, Qur´anic verses, and Hadiths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as a key issue of global justice, biodiversity and resource protection; critical reflection on technology, economy, and politics in the sense of Education for Sustainabile Development (ESD)</w:t>
            </w:r>
          </w:p>
        </w:tc>
      </w:tr>
      <w:tr>
        <w:trPr>
          <w:cantSplit w:val="0"/>
          <w:trHeight w:val="95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2">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Interreligious connectivity (How can an interreligious perspective be opened up?)</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Terms, questions</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scarcity, sustainability, stewardship of creation, purity, avoidance of waste, global responsibility</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5">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Outcome of the session (questions for interreligious exchange)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Development of shared ethical questions for interreligious dialogue, e.g.: How much water consumption is justifiable? Who owns water? How can religious traditions motivate sustainable actions?</w:t>
            </w:r>
          </w:p>
        </w:tc>
      </w:tr>
    </w:tbl>
    <w:p w:rsidR="00000000" w:rsidDel="00000000" w:rsidP="00000000" w:rsidRDefault="00000000" w:rsidRPr="00000000" w14:paraId="00000037">
      <w:pPr>
        <w:widowControl w:val="0"/>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spacing w:after="100" w:before="10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Competencies and learning objectives</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This table does not need to be completed. It serves as a framework and source of inspiration for your own conceptual design. The competencies and learning objectives listed are central to the project objectives and should be taken into account. Adjustments to the respective institutional or national context are possible, provided that the objectives remain the same.</w:t>
      </w:r>
    </w:p>
    <w:tbl>
      <w:tblPr>
        <w:tblStyle w:val="Table4"/>
        <w:tblW w:w="923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395"/>
        <w:gridCol w:w="4843"/>
        <w:tblGridChange w:id="0">
          <w:tblGrid>
            <w:gridCol w:w="4395"/>
            <w:gridCol w:w="4843"/>
          </w:tblGrid>
        </w:tblGridChange>
      </w:tblGrid>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A">
            <w:pPr>
              <w:spacing w:after="100" w:before="10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Area of competence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Learning objectives</w:t>
            </w:r>
            <w:r w:rsidDel="00000000" w:rsidR="00000000" w:rsidRPr="00000000">
              <w:rPr>
                <w:rtl w:val="0"/>
              </w:rPr>
            </w:r>
          </w:p>
        </w:tc>
      </w:tr>
      <w:tr>
        <w:trPr>
          <w:cantSplit w:val="0"/>
          <w:trHeight w:val="123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C">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competence (water &amp; sustainability)</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D">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explain key aspects of water as a resource (significance, lines of conflict, protection perspectives) and classify these in terms of sustainability issues.</w:t>
            </w:r>
          </w:p>
        </w:tc>
      </w:tr>
      <w:tr>
        <w:trPr>
          <w:cantSplit w:val="0"/>
          <w:trHeight w:val="151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E">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self-clarification</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F">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identify and explain key interpretations, values, and norms of their own religious/ethical tradition with regard to water (e.g., purity, ritual, responsibility, justice, reference to creation).</w:t>
            </w:r>
          </w:p>
        </w:tc>
      </w:tr>
      <w:tr>
        <w:trPr>
          <w:cantSplit w:val="0"/>
          <w:trHeight w:val="151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0">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Didactic and pedagogical competence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vAlign w:val="center"/>
          </w:tcPr>
          <w:p w:rsidR="00000000" w:rsidDel="00000000" w:rsidP="00000000" w:rsidRDefault="00000000" w:rsidRPr="00000000" w14:paraId="00000041">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outline how the topic of water and water ethics can be addressed in educational settings (school/university) in a competence-oriented and open-minded manner.</w:t>
            </w:r>
          </w:p>
        </w:tc>
      </w:tr>
      <w:tr>
        <w:trPr>
          <w:cantSplit w:val="0"/>
          <w:trHeight w:val="123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Interreligious competence </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inform themselves about the interpretations of other religions and formulate respectful questions about other perspectives.</w:t>
            </w:r>
          </w:p>
        </w:tc>
      </w:tr>
      <w:tr>
        <w:trPr>
          <w:cantSplit w:val="0"/>
          <w:trHeight w:val="1690"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spacing w:after="100" w:before="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Transfer competence</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apply the results to specific contexts (campus, school, community, everyday life, local waterways, consumption) and develop teaching and learning materials (with reference to educational plans/curricula). </w:t>
            </w:r>
          </w:p>
        </w:tc>
      </w:tr>
    </w:tbl>
    <w:p w:rsidR="00000000" w:rsidDel="00000000" w:rsidP="00000000" w:rsidRDefault="00000000" w:rsidRPr="00000000" w14:paraId="00000046">
      <w:pPr>
        <w:shd w:fill="dae9f7" w:val="clear"/>
        <w:spacing w:after="100" w:before="10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 addition to this template, please provide the following additional materials:</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Presentation slides and accompanying materials for the session (e.g., illustrations, prompts, and references to videos, texts, or other resources).</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texts, images, and media used, with source references and usage status; own materials are preferred.</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Materials or task formats developed by students during the session, provided they can be used for the project.</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00" w:before="10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Information on the literature used, as well as on didactic principles and further reading, with links where applicable. Glossary to supplement key terms.</w:t>
      </w:r>
    </w:p>
    <w:sectPr>
      <w:headerReference r:id="rId7" w:type="default"/>
      <w:footerReference r:id="rId8" w:type="default"/>
      <w:footerReference r:id="rId9" w:type="even"/>
      <w:pgSz w:h="16840" w:w="11900"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ab/>
      <w:tab/>
      <w:tab/>
      <w:t xml:space="preserve"> </w:t>
    </w:r>
    <w:r w:rsidDel="00000000" w:rsidR="00000000" w:rsidRPr="00000000">
      <w:rPr/>
      <w:drawing>
        <wp:inline distB="0" distT="0" distL="0" distR="0">
          <wp:extent cx="667921" cy="605843"/>
          <wp:effectExtent b="0" l="0" r="0" t="0"/>
          <wp:docPr descr="page1image26849856" id="3" name="image6.png"/>
          <a:graphic>
            <a:graphicData uri="http://schemas.openxmlformats.org/drawingml/2006/picture">
              <pic:pic>
                <pic:nvPicPr>
                  <pic:cNvPr descr="page1image26849856" id="0" name="image6.png"/>
                  <pic:cNvPicPr preferRelativeResize="0"/>
                </pic:nvPicPr>
                <pic:blipFill>
                  <a:blip r:embed="rId1"/>
                  <a:srcRect b="0" l="0" r="0" t="0"/>
                  <a:stretch>
                    <a:fillRect/>
                  </a:stretch>
                </pic:blipFill>
                <pic:spPr>
                  <a:xfrm>
                    <a:off x="0" y="0"/>
                    <a:ext cx="667921" cy="605843"/>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049549" cy="709028"/>
          <wp:effectExtent b="0" l="0" r="0" t="0"/>
          <wp:docPr descr="Ein Bild, das Schrift, Logo, Design, Grafiken enthält.&#10;&#10;Automatisch generierte Beschreibung" id="5" name="image1.jpg"/>
          <a:graphic>
            <a:graphicData uri="http://schemas.openxmlformats.org/drawingml/2006/picture">
              <pic:pic>
                <pic:nvPicPr>
                  <pic:cNvPr descr="Ein Bild, das Schrift, Logo, Design, Grafiken enthält.&#10;&#10;Automatisch generierte Beschreibung" id="0" name="image1.jpg"/>
                  <pic:cNvPicPr preferRelativeResize="0"/>
                </pic:nvPicPr>
                <pic:blipFill>
                  <a:blip r:embed="rId2"/>
                  <a:srcRect b="0" l="0" r="0" t="0"/>
                  <a:stretch>
                    <a:fillRect/>
                  </a:stretch>
                </pic:blipFill>
                <pic:spPr>
                  <a:xfrm>
                    <a:off x="0" y="0"/>
                    <a:ext cx="1049549" cy="709028"/>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988865" cy="511825"/>
          <wp:effectExtent b="0" l="0" r="0" t="0"/>
          <wp:docPr descr="Ein Bild, das Text, Schrift, Logo, Grafiken enthält.&#10;&#10;Automatisch generierte Beschreibung" id="4" name="image7.png"/>
          <a:graphic>
            <a:graphicData uri="http://schemas.openxmlformats.org/drawingml/2006/picture">
              <pic:pic>
                <pic:nvPicPr>
                  <pic:cNvPr descr="Ein Bild, das Text, Schrift, Logo, Grafiken enthält.&#10;&#10;Automatisch generierte Beschreibung" id="0" name="image7.png"/>
                  <pic:cNvPicPr preferRelativeResize="0"/>
                </pic:nvPicPr>
                <pic:blipFill>
                  <a:blip r:embed="rId3"/>
                  <a:srcRect b="0" l="0" r="0" t="0"/>
                  <a:stretch>
                    <a:fillRect/>
                  </a:stretch>
                </pic:blipFill>
                <pic:spPr>
                  <a:xfrm>
                    <a:off x="0" y="0"/>
                    <a:ext cx="988865" cy="511825"/>
                  </a:xfrm>
                  <a:prstGeom prst="rect"/>
                  <a:ln/>
                </pic:spPr>
              </pic:pic>
            </a:graphicData>
          </a:graphic>
        </wp:inline>
      </w:drawing>
    </w:r>
    <w:r w:rsidDel="00000000" w:rsidR="00000000" w:rsidRPr="00000000">
      <w:rPr>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-119421</wp:posOffset>
          </wp:positionH>
          <wp:positionV relativeFrom="paragraph">
            <wp:posOffset>154678</wp:posOffset>
          </wp:positionV>
          <wp:extent cx="1349115" cy="419152"/>
          <wp:effectExtent b="0" l="0" r="0" t="0"/>
          <wp:wrapNone/>
          <wp:docPr descr="Die Professur" id="7" name="image2.jpg"/>
          <a:graphic>
            <a:graphicData uri="http://schemas.openxmlformats.org/drawingml/2006/picture">
              <pic:pic>
                <pic:nvPicPr>
                  <pic:cNvPr descr="Die Professur" id="0" name="image2.jpg"/>
                  <pic:cNvPicPr preferRelativeResize="0"/>
                </pic:nvPicPr>
                <pic:blipFill>
                  <a:blip r:embed="rId4"/>
                  <a:srcRect b="0" l="0" r="0" t="0"/>
                  <a:stretch>
                    <a:fillRect/>
                  </a:stretch>
                </pic:blipFill>
                <pic:spPr>
                  <a:xfrm>
                    <a:off x="0" y="0"/>
                    <a:ext cx="1349115" cy="419152"/>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4785473</wp:posOffset>
          </wp:positionH>
          <wp:positionV relativeFrom="paragraph">
            <wp:posOffset>212360</wp:posOffset>
          </wp:positionV>
          <wp:extent cx="1450299" cy="374660"/>
          <wp:effectExtent b="0" l="0" r="0" t="0"/>
          <wp:wrapNone/>
          <wp:docPr descr="International Islamic University Malaysia | Land Portal" id="6" name="image3.jpg"/>
          <a:graphic>
            <a:graphicData uri="http://schemas.openxmlformats.org/drawingml/2006/picture">
              <pic:pic>
                <pic:nvPicPr>
                  <pic:cNvPr descr="International Islamic University Malaysia | Land Portal" id="0" name="image3.jpg"/>
                  <pic:cNvPicPr preferRelativeResize="0"/>
                </pic:nvPicPr>
                <pic:blipFill>
                  <a:blip r:embed="rId5"/>
                  <a:srcRect b="0" l="0" r="0" t="0"/>
                  <a:stretch>
                    <a:fillRect/>
                  </a:stretch>
                </pic:blipFill>
                <pic:spPr>
                  <a:xfrm>
                    <a:off x="0" y="0"/>
                    <a:ext cx="1450299" cy="374660"/>
                  </a:xfrm>
                  <a:prstGeom prst="rect"/>
                  <a:ln/>
                </pic:spPr>
              </pic:pic>
            </a:graphicData>
          </a:graphic>
        </wp:anchor>
      </w:drawing>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tabs>
        <w:tab w:val="left" w:leader="none" w:pos="2460"/>
      </w:tabs>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f4761"/>
        <w:sz w:val="24"/>
        <w:szCs w:val="24"/>
        <w:u w:val="none"/>
        <w:shd w:fill="auto" w:val="clear"/>
        <w:vertAlign w:val="baseline"/>
      </w:rPr>
      <w:drawing>
        <wp:inline distB="0" distT="0" distL="0" distR="0">
          <wp:extent cx="2134615" cy="662298"/>
          <wp:effectExtent b="0" l="0" r="0" t="0"/>
          <wp:docPr descr="Ein Bild, das Schrift, Grafiken, weiß, Text enthält.&#10;&#10;Automatisch generierte Beschreibung" id="2" name="image4.png"/>
          <a:graphic>
            <a:graphicData uri="http://schemas.openxmlformats.org/drawingml/2006/picture">
              <pic:pic>
                <pic:nvPicPr>
                  <pic:cNvPr descr="Ein Bild, das Schrift, Grafiken, weiß, Text enthält.&#10;&#10;Automatisch generierte Beschreibung" id="0" name="image4.png"/>
                  <pic:cNvPicPr preferRelativeResize="0"/>
                </pic:nvPicPr>
                <pic:blipFill>
                  <a:blip r:embed="rId1"/>
                  <a:srcRect b="0" l="0" r="0" t="0"/>
                  <a:stretch>
                    <a:fillRect/>
                  </a:stretch>
                </pic:blipFill>
                <pic:spPr>
                  <a:xfrm>
                    <a:off x="0" y="0"/>
                    <a:ext cx="2134615" cy="662298"/>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-173385</wp:posOffset>
          </wp:positionH>
          <wp:positionV relativeFrom="paragraph">
            <wp:posOffset>159372</wp:posOffset>
          </wp:positionV>
          <wp:extent cx="1763512" cy="353683"/>
          <wp:effectExtent b="0" l="0" r="0" t="0"/>
          <wp:wrapNone/>
          <wp:docPr descr="Ein Bild, das Electric Blue (Farbe), Logo, Grafiken, Schrift enthält.&#10;&#10;Automatisch generierte Beschreibung" id="1" name="image5.jpg"/>
          <a:graphic>
            <a:graphicData uri="http://schemas.openxmlformats.org/drawingml/2006/picture">
              <pic:pic>
                <pic:nvPicPr>
                  <pic:cNvPr descr="Ein Bild, das Electric Blue (Farbe), Logo, Grafiken, Schrift enthält.&#10;&#10;Automatisch generierte Beschreibung" id="0" name="image5.jpg"/>
                  <pic:cNvPicPr preferRelativeResize="0"/>
                </pic:nvPicPr>
                <pic:blipFill>
                  <a:blip r:embed="rId2"/>
                  <a:srcRect b="33529" l="0" r="0" t="33962"/>
                  <a:stretch>
                    <a:fillRect/>
                  </a:stretch>
                </pic:blipFill>
                <pic:spPr>
                  <a:xfrm>
                    <a:off x="0" y="0"/>
                    <a:ext cx="1763512" cy="353683"/>
                  </a:xfrm>
                  <a:prstGeom prst="rect"/>
                  <a:ln/>
                </pic:spPr>
              </pic:pic>
            </a:graphicData>
          </a:graphic>
        </wp:anchor>
      </w:drawing>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720" w:hanging="360"/>
      </w:pPr>
      <w:rPr>
        <w:rFonts w:ascii="Arimo" w:cs="Arimo" w:eastAsia="Arimo" w:hAnsi="Arimo"/>
        <w:b w:val="0"/>
        <w:bCs w:val="0"/>
        <w:i w:val="0"/>
        <w:iCs w:val="0"/>
        <w:smallCaps w:val="0"/>
        <w:strike w:val="0"/>
        <w:shd w:fill="auto" w:val="clear"/>
        <w:vertAlign w:val="baseline"/>
      </w:rPr>
    </w:lvl>
    <w:lvl w:ilvl="1">
      <w:start w:val="1"/>
      <w:numFmt w:val="bullet"/>
      <w:lvlText w:val="□"/>
      <w:lvlJc w:val="left"/>
      <w:pPr>
        <w:ind w:left="1440" w:hanging="360"/>
      </w:pPr>
      <w:rPr>
        <w:rFonts w:ascii="Noto Sans Symbols" w:cs="Noto Sans Symbols" w:eastAsia="Noto Sans Symbols" w:hAnsi="Noto Sans Symbols"/>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Arimo" w:cs="Arimo" w:eastAsia="Arimo" w:hAnsi="Arimo"/>
        <w:b w:val="0"/>
        <w:bCs w:val="0"/>
        <w:i w:val="0"/>
        <w:iCs w:val="0"/>
        <w:smallCaps w:val="0"/>
        <w:strike w:val="0"/>
        <w:shd w:fill="auto" w:val="clear"/>
        <w:vertAlign w:val="baseline"/>
      </w:rPr>
    </w:lvl>
    <w:lvl w:ilvl="4">
      <w:start w:val="1"/>
      <w:numFmt w:val="bullet"/>
      <w:lvlText w:val="□"/>
      <w:lvlJc w:val="left"/>
      <w:pPr>
        <w:ind w:left="3600" w:hanging="360"/>
      </w:pPr>
      <w:rPr>
        <w:rFonts w:ascii="Noto Sans Symbols" w:cs="Noto Sans Symbols" w:eastAsia="Noto Sans Symbols" w:hAnsi="Noto Sans Symbols"/>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Arimo" w:cs="Arimo" w:eastAsia="Arimo" w:hAnsi="Arimo"/>
        <w:b w:val="0"/>
        <w:bCs w:val="0"/>
        <w:i w:val="0"/>
        <w:iCs w:val="0"/>
        <w:smallCaps w:val="0"/>
        <w:strike w:val="0"/>
        <w:shd w:fill="auto" w:val="clear"/>
        <w:vertAlign w:val="baseline"/>
      </w:rPr>
    </w:lvl>
    <w:lvl w:ilvl="7">
      <w:start w:val="1"/>
      <w:numFmt w:val="bullet"/>
      <w:lvlText w:val="□"/>
      <w:lvlJc w:val="left"/>
      <w:pPr>
        <w:ind w:left="5760" w:hanging="360"/>
      </w:pPr>
      <w:rPr>
        <w:rFonts w:ascii="Noto Sans Symbols" w:cs="Noto Sans Symbols" w:eastAsia="Noto Sans Symbols" w:hAnsi="Noto Sans Symbols"/>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z w:val="20"/>
        <w:szCs w:val="2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z w:val="20"/>
        <w:szCs w:val="2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z w:val="20"/>
        <w:szCs w:val="20"/>
        <w:shd w:fill="auto" w:val="clear"/>
        <w:vertAlign w:val="baseline"/>
      </w:rPr>
    </w:lvl>
    <w:lvl w:ilvl="3">
      <w:start w:val="1"/>
      <w:numFmt w:val="bullet"/>
      <w:lvlText w:val="▪"/>
      <w:lvlJc w:val="left"/>
      <w:pPr>
        <w:ind w:left="2880" w:hanging="360"/>
      </w:pPr>
      <w:rPr>
        <w:rFonts w:ascii="Arimo" w:cs="Arimo" w:eastAsia="Arimo" w:hAnsi="Arimo"/>
        <w:b w:val="0"/>
        <w:bCs w:val="0"/>
        <w:i w:val="0"/>
        <w:iCs w:val="0"/>
        <w:smallCaps w:val="0"/>
        <w:strike w:val="0"/>
        <w:sz w:val="20"/>
        <w:szCs w:val="20"/>
        <w:shd w:fill="auto" w:val="clear"/>
        <w:vertAlign w:val="baseline"/>
      </w:rPr>
    </w:lvl>
    <w:lvl w:ilvl="4">
      <w:start w:val="1"/>
      <w:numFmt w:val="bullet"/>
      <w:lvlText w:val="▪"/>
      <w:lvlJc w:val="left"/>
      <w:pPr>
        <w:ind w:left="3600" w:hanging="360"/>
      </w:pPr>
      <w:rPr>
        <w:rFonts w:ascii="Arimo" w:cs="Arimo" w:eastAsia="Arimo" w:hAnsi="Arimo"/>
        <w:b w:val="0"/>
        <w:bCs w:val="0"/>
        <w:i w:val="0"/>
        <w:iCs w:val="0"/>
        <w:smallCaps w:val="0"/>
        <w:strike w:val="0"/>
        <w:sz w:val="20"/>
        <w:szCs w:val="2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z w:val="20"/>
        <w:szCs w:val="20"/>
        <w:shd w:fill="auto" w:val="clear"/>
        <w:vertAlign w:val="baseline"/>
      </w:rPr>
    </w:lvl>
    <w:lvl w:ilvl="6">
      <w:start w:val="1"/>
      <w:numFmt w:val="bullet"/>
      <w:lvlText w:val="▪"/>
      <w:lvlJc w:val="left"/>
      <w:pPr>
        <w:ind w:left="5040" w:hanging="360"/>
      </w:pPr>
      <w:rPr>
        <w:rFonts w:ascii="Arimo" w:cs="Arimo" w:eastAsia="Arimo" w:hAnsi="Arimo"/>
        <w:b w:val="0"/>
        <w:bCs w:val="0"/>
        <w:i w:val="0"/>
        <w:iCs w:val="0"/>
        <w:smallCaps w:val="0"/>
        <w:strike w:val="0"/>
        <w:sz w:val="20"/>
        <w:szCs w:val="20"/>
        <w:shd w:fill="auto" w:val="clear"/>
        <w:vertAlign w:val="baseline"/>
      </w:rPr>
    </w:lvl>
    <w:lvl w:ilvl="7">
      <w:start w:val="1"/>
      <w:numFmt w:val="bullet"/>
      <w:lvlText w:val="▪"/>
      <w:lvlJc w:val="left"/>
      <w:pPr>
        <w:ind w:left="5760" w:hanging="360"/>
      </w:pPr>
      <w:rPr>
        <w:rFonts w:ascii="Arimo" w:cs="Arimo" w:eastAsia="Arimo" w:hAnsi="Arimo"/>
        <w:b w:val="0"/>
        <w:bCs w:val="0"/>
        <w:i w:val="0"/>
        <w:iCs w:val="0"/>
        <w:smallCaps w:val="0"/>
        <w:strike w:val="0"/>
        <w:sz w:val="20"/>
        <w:szCs w:val="2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z w:val="20"/>
        <w:szCs w:val="2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M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8.00000000000006" w:lineRule="auto"/>
      <w:ind w:left="0" w:right="0" w:firstLine="0"/>
      <w:jc w:val="left"/>
    </w:pPr>
    <w:rPr>
      <w:rFonts w:ascii="Aptos" w:cs="Aptos" w:eastAsia="Aptos" w:hAnsi="Aptos"/>
      <w:b w:val="0"/>
      <w:bCs w:val="0"/>
      <w:i w:val="0"/>
      <w:iCs w:val="0"/>
      <w:smallCaps w:val="0"/>
      <w:strike w:val="0"/>
      <w:color w:val="0f4761"/>
      <w:sz w:val="28"/>
      <w:szCs w:val="28"/>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jpg"/><Relationship Id="rId3" Type="http://schemas.openxmlformats.org/officeDocument/2006/relationships/image" Target="media/image7.png"/><Relationship Id="rId4" Type="http://schemas.openxmlformats.org/officeDocument/2006/relationships/image" Target="media/image2.jpg"/><Relationship Id="rId5"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VyPGcJClFfm0lWVR22YjO5vpg==">CgMxLjA4AHIhMXNFUzBEZmZqSDloSGZMVU9CS19yN29TOXhDRkdYUjNy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